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Более 800 семей распорядились сертификатами на материнский капитал в августе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Самым популярным направлением распоряжения материнским (семейным) капиталом остается улучшение жилищных условий. На эту цель материнский капитал потратили 820 семей. </w:t>
        <w:br/>
        <w:t xml:space="preserve">Вторым по популярности остается направление средств на оплату образовательных услуг. 322 семьи в августе направили средства материнского капитала на обучение детей. </w:t>
        <w:br/>
        <w:t xml:space="preserve">Третьим популярным направлением стало оформление ежемесячной денежной выплаты из средств материнского капитала. Данный вид поддержки выбрали 322 семьи с детьми.  </w:t>
        <w:br/>
        <w:br/>
        <w:t xml:space="preserve">Напомним,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материнский (семейный) капитал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 это мера государственной поддержки российских семей, в которых с 2007 года родился или был усыновлен второй ребенок. Семьи, в которых, после с 1 января 2020 года появился первый ребенок, имеют право на материнский капитал в размере 483 881,83 руб.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Такая же сумма полагается семьям с детьми, если второй, третий или последующие дети появились до 2020 года, а родители еще не оформили либо не использовали сертификат.</w:t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 LibreOffice_project/e5f16313668ac592c1bfb310f4390624e3dbfb75</Application>
  <Paragraphs>2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2021-09-07T07:31:00Z</dcterms:created>
  <dc:creator>Пользователь</dc:creator>
  <dc:language>ru-RU</dc:language>
  <dcterms:modified xsi:type="dcterms:W3CDTF">2021-09-08T10:31:36Z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